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3B3" w:rsidRDefault="004A23B3" w:rsidP="004A23B3">
      <w:pPr>
        <w:spacing w:line="360" w:lineRule="auto"/>
        <w:jc w:val="right"/>
        <w:rPr>
          <w:rFonts w:ascii="Arial" w:hAnsi="Arial" w:cs="Arial"/>
          <w:b/>
          <w:u w:val="single"/>
        </w:rPr>
      </w:pPr>
      <w:r>
        <w:rPr>
          <w:rFonts w:ascii="Arial" w:hAnsi="Arial" w:cs="Arial"/>
          <w:b/>
          <w:u w:val="single"/>
        </w:rPr>
        <w:t>ORDENANZA Nº94-HCDPF-2022</w:t>
      </w:r>
    </w:p>
    <w:p w:rsidR="004A23B3" w:rsidRPr="004A23B3" w:rsidRDefault="004A23B3" w:rsidP="004A23B3">
      <w:pPr>
        <w:spacing w:line="360" w:lineRule="auto"/>
        <w:jc w:val="right"/>
        <w:rPr>
          <w:rFonts w:ascii="Arial" w:hAnsi="Arial" w:cs="Arial"/>
        </w:rPr>
      </w:pPr>
      <w:r w:rsidRPr="004A23B3">
        <w:rPr>
          <w:rFonts w:ascii="Arial" w:hAnsi="Arial" w:cs="Arial"/>
        </w:rPr>
        <w:t>Potrero de los Funes 12 de enero 2022</w:t>
      </w:r>
    </w:p>
    <w:p w:rsidR="004A23B3" w:rsidRDefault="004A23B3" w:rsidP="004A23B3">
      <w:pPr>
        <w:spacing w:line="360" w:lineRule="auto"/>
        <w:jc w:val="right"/>
        <w:rPr>
          <w:rFonts w:ascii="Arial" w:hAnsi="Arial" w:cs="Arial"/>
          <w:b/>
          <w:u w:val="single"/>
        </w:rPr>
      </w:pPr>
    </w:p>
    <w:p w:rsidR="004A23B3" w:rsidRPr="004A23B3" w:rsidRDefault="004A23B3" w:rsidP="004A23B3">
      <w:pPr>
        <w:spacing w:line="360" w:lineRule="auto"/>
        <w:jc w:val="center"/>
        <w:rPr>
          <w:rFonts w:ascii="Arial" w:hAnsi="Arial" w:cs="Arial"/>
          <w:b/>
          <w:u w:val="single"/>
        </w:rPr>
      </w:pPr>
      <w:r w:rsidRPr="004A23B3">
        <w:rPr>
          <w:rFonts w:ascii="Arial" w:hAnsi="Arial" w:cs="Arial"/>
          <w:b/>
          <w:u w:val="single"/>
        </w:rPr>
        <w:t>REFORMULACION DE LA</w:t>
      </w:r>
      <w:r>
        <w:rPr>
          <w:rFonts w:ascii="Arial" w:hAnsi="Arial" w:cs="Arial"/>
          <w:b/>
          <w:u w:val="single"/>
        </w:rPr>
        <w:t xml:space="preserve"> </w:t>
      </w:r>
      <w:r w:rsidRPr="004A23B3">
        <w:rPr>
          <w:rFonts w:ascii="Arial" w:hAnsi="Arial" w:cs="Arial"/>
          <w:b/>
          <w:u w:val="single"/>
        </w:rPr>
        <w:t>ORDENANZA TARIFARIA PARA EL AÑO 2022</w:t>
      </w:r>
    </w:p>
    <w:p w:rsidR="004A23B3" w:rsidRPr="00FA30BA" w:rsidRDefault="004A23B3" w:rsidP="004A23B3">
      <w:pPr>
        <w:spacing w:line="360" w:lineRule="auto"/>
        <w:rPr>
          <w:rFonts w:ascii="Arial" w:hAnsi="Arial" w:cs="Arial"/>
          <w:color w:val="000000"/>
        </w:rPr>
      </w:pPr>
    </w:p>
    <w:p w:rsidR="004A23B3" w:rsidRPr="00FA30BA" w:rsidRDefault="004A23B3" w:rsidP="004A23B3">
      <w:pPr>
        <w:spacing w:line="360" w:lineRule="auto"/>
        <w:jc w:val="both"/>
        <w:rPr>
          <w:rFonts w:ascii="Arial" w:hAnsi="Arial" w:cs="Arial"/>
          <w:b/>
          <w:color w:val="000000"/>
        </w:rPr>
      </w:pPr>
      <w:r>
        <w:rPr>
          <w:rFonts w:ascii="Arial" w:hAnsi="Arial" w:cs="Arial"/>
          <w:b/>
          <w:color w:val="000000"/>
        </w:rPr>
        <w:t>VISTO:</w:t>
      </w:r>
    </w:p>
    <w:p w:rsidR="004A23B3" w:rsidRDefault="004A23B3" w:rsidP="004A23B3">
      <w:pPr>
        <w:spacing w:line="360" w:lineRule="auto"/>
        <w:ind w:firstLine="2268"/>
        <w:jc w:val="both"/>
        <w:rPr>
          <w:rFonts w:ascii="Arial" w:hAnsi="Arial" w:cs="Arial"/>
          <w:color w:val="000000"/>
        </w:rPr>
      </w:pPr>
      <w:r>
        <w:rPr>
          <w:rFonts w:ascii="Arial" w:hAnsi="Arial" w:cs="Arial"/>
          <w:color w:val="000000"/>
        </w:rPr>
        <w:t xml:space="preserve">el proyecto de ordenanza remitido por el Poder Ejecutivo Municipal para la modificación de la Ordenanza Tarifaria actual, correspondiente al año en curso, y que fuere aprobado oportunamente por Ordenanza Nº90-HCDPF-2021.  </w:t>
      </w:r>
    </w:p>
    <w:p w:rsidR="004A23B3" w:rsidRDefault="004A23B3" w:rsidP="004A23B3">
      <w:pPr>
        <w:spacing w:line="360" w:lineRule="auto"/>
        <w:jc w:val="both"/>
        <w:rPr>
          <w:rFonts w:ascii="Arial" w:hAnsi="Arial" w:cs="Arial"/>
          <w:b/>
          <w:color w:val="000000"/>
        </w:rPr>
      </w:pPr>
    </w:p>
    <w:p w:rsidR="004A23B3" w:rsidRPr="004A23B3" w:rsidRDefault="004A23B3" w:rsidP="004A23B3">
      <w:pPr>
        <w:spacing w:line="360" w:lineRule="auto"/>
        <w:jc w:val="both"/>
        <w:rPr>
          <w:rFonts w:ascii="Arial" w:hAnsi="Arial" w:cs="Arial"/>
          <w:b/>
          <w:color w:val="000000"/>
        </w:rPr>
      </w:pPr>
      <w:r w:rsidRPr="004A23B3">
        <w:rPr>
          <w:rFonts w:ascii="Arial" w:hAnsi="Arial" w:cs="Arial"/>
          <w:b/>
          <w:color w:val="000000"/>
        </w:rPr>
        <w:t xml:space="preserve">CONSIDERANDO:   </w:t>
      </w:r>
    </w:p>
    <w:p w:rsidR="004A23B3" w:rsidRDefault="004A23B3" w:rsidP="004A23B3">
      <w:pPr>
        <w:spacing w:line="360" w:lineRule="auto"/>
        <w:ind w:firstLine="2268"/>
        <w:jc w:val="both"/>
        <w:rPr>
          <w:rFonts w:ascii="Arial" w:hAnsi="Arial" w:cs="Arial"/>
          <w:color w:val="000000"/>
        </w:rPr>
      </w:pPr>
      <w:r>
        <w:rPr>
          <w:rFonts w:ascii="Arial" w:hAnsi="Arial" w:cs="Arial"/>
          <w:color w:val="000000"/>
        </w:rPr>
        <w:t>que estamos frente a una modificación de una ordenanza vigente, por lo que, el proyecto remitido para su tratamiento adolece de una técnica legislativa adecuada toda vez que su en parte resolutiva supone la inexistencia de aquella, lo que debe ser subsanado.</w:t>
      </w:r>
    </w:p>
    <w:p w:rsidR="004A23B3" w:rsidRDefault="004A23B3" w:rsidP="004A23B3">
      <w:pPr>
        <w:spacing w:line="360" w:lineRule="auto"/>
        <w:ind w:firstLine="2268"/>
        <w:jc w:val="both"/>
        <w:rPr>
          <w:rFonts w:ascii="Arial" w:hAnsi="Arial" w:cs="Arial"/>
          <w:color w:val="000000"/>
        </w:rPr>
      </w:pPr>
      <w:r>
        <w:rPr>
          <w:rFonts w:ascii="Arial" w:hAnsi="Arial" w:cs="Arial"/>
          <w:color w:val="000000"/>
        </w:rPr>
        <w:t>Y teniendo en cuenta que las autoridades comunales no realizaron una mínima fundamentación para apartarse de las tasas y derechos fijados en la ordenanza vigente, explicando por qué ellas debían ser modificadas, ni mucho menos hicieron conocer necesidades financieras cruciales que justifique un nuevo y abrupto incremento en los aranceles luego de haber sufrido ya un aumento el mes pasado.</w:t>
      </w:r>
    </w:p>
    <w:p w:rsidR="004A23B3" w:rsidRDefault="004A23B3" w:rsidP="004A23B3">
      <w:pPr>
        <w:spacing w:line="360" w:lineRule="auto"/>
        <w:ind w:firstLine="2268"/>
        <w:jc w:val="both"/>
        <w:rPr>
          <w:rFonts w:ascii="Arial" w:hAnsi="Arial" w:cs="Arial"/>
          <w:color w:val="000000"/>
        </w:rPr>
      </w:pPr>
      <w:r>
        <w:rPr>
          <w:rFonts w:ascii="Arial" w:hAnsi="Arial" w:cs="Arial"/>
          <w:color w:val="000000"/>
        </w:rPr>
        <w:t>El Poder Ejecutivo deberá procurar llevar a adelante una eficiente y austera administración, sin incurrir en gastos superfluos ni agigantar desmedidamente la planta de funcionarios y sus remuneraciones, todo ello a fin de evitar cargar a nuestros vecinos con mayores e innecesarias contribuciones.</w:t>
      </w:r>
    </w:p>
    <w:p w:rsidR="004A23B3" w:rsidRDefault="004A23B3" w:rsidP="004A23B3">
      <w:pPr>
        <w:spacing w:line="360" w:lineRule="auto"/>
        <w:ind w:firstLine="2268"/>
        <w:jc w:val="both"/>
        <w:rPr>
          <w:rFonts w:ascii="Arial" w:hAnsi="Arial" w:cs="Arial"/>
          <w:color w:val="000000"/>
        </w:rPr>
      </w:pPr>
      <w:r>
        <w:rPr>
          <w:rFonts w:ascii="Arial" w:hAnsi="Arial" w:cs="Arial"/>
          <w:color w:val="000000"/>
        </w:rPr>
        <w:t xml:space="preserve">Consecuentemente deviene conveniente mantener el cuadro tarifario actual para el año en curso y realizar algunas modificaciones en la ordenanza </w:t>
      </w:r>
      <w:r>
        <w:rPr>
          <w:rFonts w:ascii="Arial" w:hAnsi="Arial" w:cs="Arial"/>
          <w:color w:val="000000"/>
        </w:rPr>
        <w:lastRenderedPageBreak/>
        <w:t>vigente que traiga seguridad jurídica para nuestros contribuyentes y evitar la discrecionalidad del administrador.</w:t>
      </w:r>
    </w:p>
    <w:p w:rsidR="004A23B3" w:rsidRDefault="004A23B3" w:rsidP="004A23B3">
      <w:pPr>
        <w:spacing w:line="360" w:lineRule="auto"/>
        <w:ind w:firstLine="2268"/>
        <w:jc w:val="both"/>
        <w:rPr>
          <w:rFonts w:ascii="Arial" w:hAnsi="Arial" w:cs="Arial"/>
          <w:color w:val="000000"/>
        </w:rPr>
      </w:pPr>
      <w:r>
        <w:rPr>
          <w:rFonts w:ascii="Arial" w:hAnsi="Arial" w:cs="Arial"/>
          <w:color w:val="000000"/>
        </w:rPr>
        <w:t>Por ello,</w:t>
      </w:r>
    </w:p>
    <w:p w:rsidR="004A23B3" w:rsidRPr="00FA30BA" w:rsidRDefault="004A23B3" w:rsidP="004A23B3">
      <w:pPr>
        <w:spacing w:line="360" w:lineRule="auto"/>
        <w:jc w:val="both"/>
        <w:rPr>
          <w:rFonts w:ascii="Arial" w:hAnsi="Arial" w:cs="Arial"/>
          <w:color w:val="000000"/>
        </w:rPr>
      </w:pPr>
    </w:p>
    <w:p w:rsidR="004A23B3" w:rsidRPr="00C04723" w:rsidRDefault="004A23B3" w:rsidP="004A23B3">
      <w:pPr>
        <w:spacing w:line="360" w:lineRule="auto"/>
        <w:jc w:val="center"/>
        <w:rPr>
          <w:rFonts w:ascii="Arial" w:hAnsi="Arial" w:cs="Arial"/>
          <w:b/>
          <w:i/>
          <w:color w:val="000000"/>
        </w:rPr>
      </w:pPr>
      <w:r w:rsidRPr="00FA30BA">
        <w:rPr>
          <w:rFonts w:ascii="Arial" w:hAnsi="Arial" w:cs="Arial"/>
          <w:b/>
          <w:color w:val="000000"/>
        </w:rPr>
        <w:t>EL HONORABLE CONCEJO DELIBERANTE DE LA MUNICIPALIDAD DE POTRERO DE LOS FUNES SANCIONA CON FUERZA DE:</w:t>
      </w:r>
    </w:p>
    <w:p w:rsidR="004A23B3" w:rsidRPr="00C04723" w:rsidRDefault="004A23B3" w:rsidP="004A23B3">
      <w:pPr>
        <w:spacing w:line="360" w:lineRule="auto"/>
        <w:jc w:val="center"/>
        <w:rPr>
          <w:rFonts w:ascii="Arial" w:hAnsi="Arial" w:cs="Arial"/>
          <w:b/>
          <w:i/>
          <w:color w:val="000000"/>
        </w:rPr>
      </w:pPr>
      <w:r w:rsidRPr="00FA30BA">
        <w:rPr>
          <w:rFonts w:ascii="Arial" w:hAnsi="Arial" w:cs="Arial"/>
          <w:b/>
          <w:color w:val="000000"/>
        </w:rPr>
        <w:t>ORDENANZA</w:t>
      </w:r>
    </w:p>
    <w:p w:rsidR="004A23B3" w:rsidRDefault="004A23B3" w:rsidP="004A23B3">
      <w:pPr>
        <w:spacing w:line="360" w:lineRule="auto"/>
        <w:ind w:left="1418" w:hanging="1418"/>
        <w:jc w:val="both"/>
        <w:rPr>
          <w:rFonts w:ascii="Arial" w:hAnsi="Arial" w:cs="Arial"/>
          <w:b/>
          <w:color w:val="000000"/>
          <w:u w:val="single"/>
        </w:rPr>
      </w:pPr>
    </w:p>
    <w:p w:rsidR="004A23B3" w:rsidRPr="00CF6BCD" w:rsidRDefault="004A23B3" w:rsidP="004A23B3">
      <w:pPr>
        <w:spacing w:line="360" w:lineRule="auto"/>
        <w:jc w:val="both"/>
        <w:rPr>
          <w:rFonts w:ascii="Arial" w:hAnsi="Arial" w:cs="Arial"/>
          <w:bCs/>
        </w:rPr>
      </w:pPr>
    </w:p>
    <w:p w:rsidR="004A23B3" w:rsidRDefault="004A23B3" w:rsidP="004A23B3">
      <w:pPr>
        <w:spacing w:line="360" w:lineRule="auto"/>
        <w:jc w:val="both"/>
        <w:rPr>
          <w:rFonts w:ascii="Arial" w:hAnsi="Arial" w:cs="Arial"/>
          <w:b/>
          <w:color w:val="000000"/>
          <w:u w:val="single"/>
        </w:rPr>
      </w:pPr>
    </w:p>
    <w:p w:rsidR="004A23B3" w:rsidRPr="00FA30BA" w:rsidRDefault="004A23B3" w:rsidP="004A23B3">
      <w:pPr>
        <w:spacing w:line="360" w:lineRule="auto"/>
        <w:ind w:left="1418" w:hanging="1418"/>
        <w:jc w:val="both"/>
        <w:rPr>
          <w:rFonts w:ascii="Arial" w:hAnsi="Arial" w:cs="Arial"/>
          <w:b/>
          <w:color w:val="000000"/>
          <w:u w:val="single"/>
        </w:rPr>
      </w:pPr>
    </w:p>
    <w:p w:rsidR="004A23B3" w:rsidRDefault="004A23B3" w:rsidP="004A23B3">
      <w:pPr>
        <w:spacing w:line="360" w:lineRule="auto"/>
        <w:ind w:left="1276" w:hanging="1276"/>
        <w:jc w:val="both"/>
        <w:rPr>
          <w:rFonts w:ascii="Arial" w:hAnsi="Arial" w:cs="Arial"/>
          <w:bCs/>
          <w:lang w:val="es-MX"/>
        </w:rPr>
      </w:pPr>
      <w:r w:rsidRPr="00D1617E">
        <w:rPr>
          <w:rFonts w:ascii="Arial" w:hAnsi="Arial" w:cs="Arial"/>
          <w:b/>
        </w:rPr>
        <w:t xml:space="preserve">ART. </w:t>
      </w:r>
      <w:r>
        <w:rPr>
          <w:rFonts w:ascii="Arial" w:hAnsi="Arial" w:cs="Arial"/>
          <w:b/>
        </w:rPr>
        <w:t>1</w:t>
      </w:r>
      <w:r w:rsidRPr="00D1617E">
        <w:rPr>
          <w:rFonts w:ascii="Arial" w:hAnsi="Arial" w:cs="Arial"/>
          <w:b/>
        </w:rPr>
        <w:t>º.-</w:t>
      </w:r>
      <w:r w:rsidRPr="00D1617E">
        <w:rPr>
          <w:rFonts w:ascii="Arial" w:hAnsi="Arial" w:cs="Arial"/>
        </w:rPr>
        <w:tab/>
      </w:r>
      <w:bookmarkStart w:id="0" w:name="_Hlk92705133"/>
      <w:r>
        <w:rPr>
          <w:rFonts w:ascii="Arial" w:hAnsi="Arial" w:cs="Arial"/>
        </w:rPr>
        <w:t xml:space="preserve">Modificar </w:t>
      </w:r>
      <w:r w:rsidRPr="00212CBA">
        <w:rPr>
          <w:rFonts w:ascii="Arial" w:hAnsi="Arial" w:cs="Arial"/>
          <w:bCs/>
          <w:lang w:val="es-MX"/>
        </w:rPr>
        <w:t>la tabla del inciso a) del Art. 27 de la Ordenanza Nº 90-HCDPF-2021 la que quedará redactad</w:t>
      </w:r>
      <w:r>
        <w:rPr>
          <w:rFonts w:ascii="Arial" w:hAnsi="Arial" w:cs="Arial"/>
          <w:bCs/>
          <w:lang w:val="es-MX"/>
        </w:rPr>
        <w:t>a</w:t>
      </w:r>
      <w:r w:rsidRPr="00212CBA">
        <w:rPr>
          <w:rFonts w:ascii="Arial" w:hAnsi="Arial" w:cs="Arial"/>
          <w:bCs/>
          <w:lang w:val="es-MX"/>
        </w:rPr>
        <w:t xml:space="preserve"> de la siguiente manera:</w:t>
      </w:r>
      <w:bookmarkEnd w:id="0"/>
    </w:p>
    <w:tbl>
      <w:tblPr>
        <w:tblStyle w:val="Tablaconcuadrcula"/>
        <w:tblW w:w="0" w:type="auto"/>
        <w:tblInd w:w="1837" w:type="dxa"/>
        <w:tblLook w:val="04A0"/>
      </w:tblPr>
      <w:tblGrid>
        <w:gridCol w:w="4247"/>
        <w:gridCol w:w="2226"/>
      </w:tblGrid>
      <w:tr w:rsidR="004A23B3" w:rsidRPr="00212CBA" w:rsidTr="005564D6">
        <w:tc>
          <w:tcPr>
            <w:tcW w:w="4247" w:type="dxa"/>
          </w:tcPr>
          <w:p w:rsidR="004A23B3" w:rsidRPr="00212CBA" w:rsidRDefault="004A23B3" w:rsidP="005564D6">
            <w:pPr>
              <w:spacing w:line="360" w:lineRule="auto"/>
              <w:ind w:left="1276"/>
              <w:jc w:val="both"/>
              <w:rPr>
                <w:rFonts w:ascii="Arial" w:hAnsi="Arial" w:cs="Arial"/>
                <w:bCs/>
              </w:rPr>
            </w:pPr>
            <w:r w:rsidRPr="00212CBA">
              <w:rPr>
                <w:rFonts w:ascii="Arial" w:hAnsi="Arial" w:cs="Arial"/>
                <w:bCs/>
              </w:rPr>
              <w:t>Clasificación</w:t>
            </w:r>
          </w:p>
        </w:tc>
        <w:tc>
          <w:tcPr>
            <w:tcW w:w="2226" w:type="dxa"/>
          </w:tcPr>
          <w:p w:rsidR="004A23B3" w:rsidRPr="00212CBA" w:rsidRDefault="004A23B3" w:rsidP="005564D6">
            <w:pPr>
              <w:spacing w:line="360" w:lineRule="auto"/>
              <w:jc w:val="center"/>
              <w:rPr>
                <w:rFonts w:ascii="Arial" w:hAnsi="Arial" w:cs="Arial"/>
                <w:bCs/>
              </w:rPr>
            </w:pPr>
            <w:r w:rsidRPr="00212CBA">
              <w:rPr>
                <w:rFonts w:ascii="Arial" w:hAnsi="Arial" w:cs="Arial"/>
                <w:bCs/>
              </w:rPr>
              <w:t>U.V.M.</w:t>
            </w:r>
          </w:p>
        </w:tc>
      </w:tr>
      <w:tr w:rsidR="004A23B3" w:rsidRPr="00212CBA" w:rsidTr="005564D6">
        <w:tc>
          <w:tcPr>
            <w:tcW w:w="4247" w:type="dxa"/>
          </w:tcPr>
          <w:p w:rsidR="004A23B3" w:rsidRPr="00212CBA" w:rsidRDefault="004A23B3" w:rsidP="005564D6">
            <w:pPr>
              <w:spacing w:line="360" w:lineRule="auto"/>
              <w:jc w:val="both"/>
              <w:rPr>
                <w:rFonts w:ascii="Arial" w:hAnsi="Arial" w:cs="Arial"/>
                <w:bCs/>
              </w:rPr>
            </w:pPr>
            <w:r w:rsidRPr="00212CBA">
              <w:rPr>
                <w:rFonts w:ascii="Arial" w:hAnsi="Arial" w:cs="Arial"/>
                <w:bCs/>
              </w:rPr>
              <w:t>Inmuebles afectados a uso comercial</w:t>
            </w:r>
          </w:p>
        </w:tc>
        <w:tc>
          <w:tcPr>
            <w:tcW w:w="2226" w:type="dxa"/>
          </w:tcPr>
          <w:p w:rsidR="004A23B3" w:rsidRPr="00212CBA" w:rsidRDefault="004A23B3" w:rsidP="005564D6">
            <w:pPr>
              <w:spacing w:line="360" w:lineRule="auto"/>
              <w:jc w:val="center"/>
              <w:rPr>
                <w:rFonts w:ascii="Arial" w:hAnsi="Arial" w:cs="Arial"/>
                <w:bCs/>
              </w:rPr>
            </w:pPr>
            <w:r w:rsidRPr="00212CBA">
              <w:rPr>
                <w:rFonts w:ascii="Arial" w:hAnsi="Arial" w:cs="Arial"/>
                <w:bCs/>
              </w:rPr>
              <w:t>9</w:t>
            </w:r>
          </w:p>
        </w:tc>
      </w:tr>
      <w:tr w:rsidR="004A23B3" w:rsidRPr="00212CBA" w:rsidTr="005564D6">
        <w:tc>
          <w:tcPr>
            <w:tcW w:w="4247" w:type="dxa"/>
          </w:tcPr>
          <w:p w:rsidR="004A23B3" w:rsidRPr="00212CBA" w:rsidRDefault="004A23B3" w:rsidP="005564D6">
            <w:pPr>
              <w:spacing w:line="360" w:lineRule="auto"/>
              <w:jc w:val="both"/>
              <w:rPr>
                <w:rFonts w:ascii="Arial" w:hAnsi="Arial" w:cs="Arial"/>
                <w:bCs/>
              </w:rPr>
            </w:pPr>
            <w:r w:rsidRPr="00212CBA">
              <w:rPr>
                <w:rFonts w:ascii="Arial" w:hAnsi="Arial" w:cs="Arial"/>
                <w:bCs/>
              </w:rPr>
              <w:t>Inmuebles en general</w:t>
            </w:r>
          </w:p>
        </w:tc>
        <w:tc>
          <w:tcPr>
            <w:tcW w:w="2226" w:type="dxa"/>
          </w:tcPr>
          <w:p w:rsidR="004A23B3" w:rsidRPr="00212CBA" w:rsidRDefault="004A23B3" w:rsidP="005564D6">
            <w:pPr>
              <w:spacing w:line="360" w:lineRule="auto"/>
              <w:jc w:val="center"/>
              <w:rPr>
                <w:rFonts w:ascii="Arial" w:hAnsi="Arial" w:cs="Arial"/>
                <w:bCs/>
              </w:rPr>
            </w:pPr>
            <w:r w:rsidRPr="00212CBA">
              <w:rPr>
                <w:rFonts w:ascii="Arial" w:hAnsi="Arial" w:cs="Arial"/>
                <w:bCs/>
              </w:rPr>
              <w:t>4</w:t>
            </w:r>
          </w:p>
        </w:tc>
      </w:tr>
      <w:tr w:rsidR="004A23B3" w:rsidRPr="00212CBA" w:rsidTr="005564D6">
        <w:tc>
          <w:tcPr>
            <w:tcW w:w="4247" w:type="dxa"/>
          </w:tcPr>
          <w:p w:rsidR="004A23B3" w:rsidRPr="00212CBA" w:rsidRDefault="004A23B3" w:rsidP="005564D6">
            <w:pPr>
              <w:spacing w:line="360" w:lineRule="auto"/>
              <w:jc w:val="both"/>
              <w:rPr>
                <w:rFonts w:ascii="Arial" w:hAnsi="Arial" w:cs="Arial"/>
                <w:bCs/>
              </w:rPr>
            </w:pPr>
            <w:r w:rsidRPr="00212CBA">
              <w:rPr>
                <w:rFonts w:ascii="Arial" w:hAnsi="Arial" w:cs="Arial"/>
                <w:bCs/>
              </w:rPr>
              <w:t>Viviendas Sociales</w:t>
            </w:r>
          </w:p>
        </w:tc>
        <w:tc>
          <w:tcPr>
            <w:tcW w:w="2226" w:type="dxa"/>
          </w:tcPr>
          <w:p w:rsidR="004A23B3" w:rsidRPr="00212CBA" w:rsidRDefault="004A23B3" w:rsidP="005564D6">
            <w:pPr>
              <w:spacing w:line="360" w:lineRule="auto"/>
              <w:jc w:val="center"/>
              <w:rPr>
                <w:rFonts w:ascii="Arial" w:hAnsi="Arial" w:cs="Arial"/>
                <w:bCs/>
              </w:rPr>
            </w:pPr>
            <w:r w:rsidRPr="00212CBA">
              <w:rPr>
                <w:rFonts w:ascii="Arial" w:hAnsi="Arial" w:cs="Arial"/>
                <w:bCs/>
              </w:rPr>
              <w:t>3</w:t>
            </w:r>
          </w:p>
        </w:tc>
      </w:tr>
    </w:tbl>
    <w:p w:rsidR="004A23B3" w:rsidRDefault="004A23B3" w:rsidP="004A23B3">
      <w:pPr>
        <w:spacing w:line="360" w:lineRule="auto"/>
        <w:ind w:left="1276"/>
        <w:jc w:val="both"/>
        <w:rPr>
          <w:rFonts w:ascii="Arial" w:hAnsi="Arial" w:cs="Arial"/>
        </w:rPr>
      </w:pPr>
    </w:p>
    <w:p w:rsidR="004A23B3" w:rsidRPr="00954FA4" w:rsidRDefault="004A23B3" w:rsidP="004A23B3">
      <w:pPr>
        <w:spacing w:line="360" w:lineRule="auto"/>
        <w:ind w:left="1276" w:hanging="1276"/>
        <w:jc w:val="both"/>
        <w:rPr>
          <w:rFonts w:ascii="Arial" w:hAnsi="Arial" w:cs="Arial"/>
          <w:color w:val="000000"/>
        </w:rPr>
      </w:pPr>
      <w:r w:rsidRPr="00954FA4">
        <w:rPr>
          <w:rFonts w:ascii="Arial" w:hAnsi="Arial" w:cs="Arial"/>
          <w:b/>
          <w:color w:val="000000"/>
        </w:rPr>
        <w:t xml:space="preserve">ART. 2º.-   </w:t>
      </w:r>
      <w:r>
        <w:rPr>
          <w:rFonts w:ascii="Arial" w:hAnsi="Arial" w:cs="Arial"/>
          <w:b/>
          <w:color w:val="000000"/>
        </w:rPr>
        <w:tab/>
      </w:r>
      <w:r w:rsidRPr="00954FA4">
        <w:rPr>
          <w:rFonts w:ascii="Arial" w:hAnsi="Arial" w:cs="Arial"/>
          <w:color w:val="000000"/>
        </w:rPr>
        <w:t>Modificar el punto 3 del inciso d) del Art. 28 de la Ordenanza Nº 90-HCDPF-2021</w:t>
      </w:r>
      <w:r>
        <w:rPr>
          <w:rFonts w:ascii="Arial" w:hAnsi="Arial" w:cs="Arial"/>
          <w:color w:val="000000"/>
        </w:rPr>
        <w:t>,</w:t>
      </w:r>
      <w:r w:rsidRPr="00954FA4">
        <w:rPr>
          <w:rFonts w:ascii="Arial" w:hAnsi="Arial" w:cs="Arial"/>
          <w:color w:val="000000"/>
        </w:rPr>
        <w:t>el que quedará redactado de la siguiente manera:</w:t>
      </w:r>
    </w:p>
    <w:p w:rsidR="004A23B3" w:rsidRPr="00954FA4" w:rsidRDefault="004A23B3" w:rsidP="004A23B3">
      <w:pPr>
        <w:spacing w:line="360" w:lineRule="auto"/>
        <w:ind w:left="1276"/>
        <w:jc w:val="both"/>
        <w:rPr>
          <w:rFonts w:ascii="Arial" w:hAnsi="Arial" w:cs="Arial"/>
          <w:color w:val="000000"/>
        </w:rPr>
      </w:pPr>
      <w:r w:rsidRPr="00954FA4">
        <w:rPr>
          <w:rFonts w:ascii="Arial" w:hAnsi="Arial" w:cs="Arial"/>
          <w:color w:val="000000"/>
        </w:rPr>
        <w:t>“3. Los jubilados o pensionados cuyos haberes mensuales superen unasuma equivalente a 2.000UVM se encuentran expresamente excluidos delos beneficios establecidos en este punto.".</w:t>
      </w:r>
    </w:p>
    <w:p w:rsidR="004A23B3" w:rsidRDefault="004A23B3" w:rsidP="004A23B3">
      <w:pPr>
        <w:spacing w:line="360" w:lineRule="auto"/>
        <w:ind w:left="1276"/>
        <w:jc w:val="both"/>
        <w:rPr>
          <w:rFonts w:ascii="Arial" w:hAnsi="Arial" w:cs="Arial"/>
        </w:rPr>
      </w:pPr>
    </w:p>
    <w:p w:rsidR="004A23B3" w:rsidRDefault="004A23B3" w:rsidP="004A23B3">
      <w:pPr>
        <w:spacing w:line="360" w:lineRule="auto"/>
        <w:ind w:left="1276" w:hanging="1276"/>
        <w:jc w:val="both"/>
        <w:rPr>
          <w:rFonts w:ascii="Arial" w:hAnsi="Arial" w:cs="Arial"/>
          <w:bCs/>
          <w:lang w:val="es-MX"/>
        </w:rPr>
      </w:pPr>
      <w:r w:rsidRPr="00FA30BA">
        <w:rPr>
          <w:rFonts w:ascii="Arial" w:hAnsi="Arial" w:cs="Arial"/>
          <w:b/>
          <w:color w:val="000000"/>
        </w:rPr>
        <w:t>ART.</w:t>
      </w:r>
      <w:r>
        <w:rPr>
          <w:rFonts w:ascii="Arial" w:hAnsi="Arial" w:cs="Arial"/>
          <w:b/>
          <w:color w:val="000000"/>
        </w:rPr>
        <w:t>3</w:t>
      </w:r>
      <w:r w:rsidRPr="00FA30BA">
        <w:rPr>
          <w:rFonts w:ascii="Arial" w:hAnsi="Arial" w:cs="Arial"/>
          <w:b/>
          <w:color w:val="000000"/>
        </w:rPr>
        <w:t>º.-</w:t>
      </w:r>
      <w:r w:rsidRPr="00FA30BA">
        <w:rPr>
          <w:rFonts w:ascii="Arial" w:hAnsi="Arial" w:cs="Arial"/>
          <w:color w:val="000000"/>
        </w:rPr>
        <w:tab/>
      </w:r>
      <w:r>
        <w:rPr>
          <w:rFonts w:ascii="Arial" w:hAnsi="Arial" w:cs="Arial"/>
        </w:rPr>
        <w:t>M</w:t>
      </w:r>
      <w:r w:rsidRPr="00212CBA">
        <w:rPr>
          <w:rFonts w:ascii="Arial" w:hAnsi="Arial" w:cs="Arial"/>
        </w:rPr>
        <w:t xml:space="preserve">odificar </w:t>
      </w:r>
      <w:r w:rsidRPr="00212CBA">
        <w:rPr>
          <w:rFonts w:ascii="Arial" w:hAnsi="Arial" w:cs="Arial"/>
          <w:bCs/>
          <w:lang w:val="es-MX"/>
        </w:rPr>
        <w:t>el Art. 42 de la Ordenanza Nº 90-HCDPF-2021 que quedará redactado de la siguiente manera:</w:t>
      </w:r>
    </w:p>
    <w:p w:rsidR="004A23B3" w:rsidRDefault="004A23B3" w:rsidP="004A23B3">
      <w:pPr>
        <w:spacing w:line="360" w:lineRule="auto"/>
        <w:ind w:left="1276"/>
        <w:jc w:val="both"/>
        <w:rPr>
          <w:rFonts w:ascii="Arial" w:hAnsi="Arial" w:cs="Arial"/>
          <w:bCs/>
          <w:color w:val="000000"/>
          <w:lang w:val="es-MX"/>
        </w:rPr>
      </w:pPr>
      <w:r w:rsidRPr="00212CBA">
        <w:rPr>
          <w:rFonts w:ascii="Arial" w:hAnsi="Arial" w:cs="Arial"/>
          <w:color w:val="000000"/>
        </w:rPr>
        <w:lastRenderedPageBreak/>
        <w:t>“</w:t>
      </w:r>
      <w:r w:rsidRPr="00212CBA">
        <w:rPr>
          <w:rFonts w:ascii="Arial" w:hAnsi="Arial" w:cs="Arial"/>
          <w:bCs/>
          <w:color w:val="000000"/>
          <w:lang w:val="es-MX"/>
        </w:rPr>
        <w:t>Los comercios que registren actividades anexas a la principal, sufrirán un recargo igual al 30% del valor de dicha actividad anexa y hasta un máximo de tres anexos. La cuarta actividad anexa y sub-siguientes, si las hubiera, no serán liquidadas”.</w:t>
      </w:r>
    </w:p>
    <w:p w:rsidR="004A23B3" w:rsidRPr="00FA30BA" w:rsidRDefault="004A23B3" w:rsidP="004A23B3">
      <w:pPr>
        <w:spacing w:line="360" w:lineRule="auto"/>
        <w:ind w:left="1276" w:hanging="1276"/>
        <w:jc w:val="both"/>
        <w:rPr>
          <w:rFonts w:ascii="Arial" w:hAnsi="Arial" w:cs="Arial"/>
          <w:color w:val="000000"/>
        </w:rPr>
      </w:pPr>
    </w:p>
    <w:p w:rsidR="004A23B3" w:rsidRPr="00212CBA" w:rsidRDefault="004A23B3" w:rsidP="004A23B3">
      <w:pPr>
        <w:spacing w:line="360" w:lineRule="auto"/>
        <w:ind w:left="1276" w:hanging="1276"/>
        <w:jc w:val="both"/>
        <w:rPr>
          <w:rFonts w:ascii="Arial" w:hAnsi="Arial" w:cs="Arial"/>
          <w:bCs/>
          <w:lang w:val="es-MX"/>
        </w:rPr>
      </w:pPr>
      <w:r w:rsidRPr="00FA30BA">
        <w:rPr>
          <w:rFonts w:ascii="Arial" w:hAnsi="Arial" w:cs="Arial"/>
          <w:b/>
          <w:color w:val="000000"/>
        </w:rPr>
        <w:t xml:space="preserve">ART. </w:t>
      </w:r>
      <w:r>
        <w:rPr>
          <w:rFonts w:ascii="Arial" w:hAnsi="Arial" w:cs="Arial"/>
          <w:b/>
          <w:color w:val="000000"/>
        </w:rPr>
        <w:t>4</w:t>
      </w:r>
      <w:r w:rsidRPr="00FA30BA">
        <w:rPr>
          <w:rFonts w:ascii="Arial" w:hAnsi="Arial" w:cs="Arial"/>
          <w:b/>
          <w:color w:val="000000"/>
        </w:rPr>
        <w:t>º.-</w:t>
      </w:r>
      <w:r w:rsidRPr="00FA30BA">
        <w:rPr>
          <w:rFonts w:ascii="Arial" w:hAnsi="Arial" w:cs="Arial"/>
          <w:color w:val="000000"/>
        </w:rPr>
        <w:tab/>
      </w:r>
      <w:r>
        <w:rPr>
          <w:rFonts w:ascii="Arial" w:hAnsi="Arial" w:cs="Arial"/>
        </w:rPr>
        <w:t xml:space="preserve">Modificar </w:t>
      </w:r>
      <w:r w:rsidRPr="00212CBA">
        <w:rPr>
          <w:rFonts w:ascii="Arial" w:hAnsi="Arial" w:cs="Arial"/>
          <w:bCs/>
          <w:lang w:val="es-MX"/>
        </w:rPr>
        <w:t>el Art. 123 de la Ordenanza Nº 90-HCDPF-2021 que quedará redactado de la siguiente manera:</w:t>
      </w:r>
    </w:p>
    <w:p w:rsidR="004A23B3" w:rsidRDefault="004A23B3" w:rsidP="004A23B3">
      <w:pPr>
        <w:spacing w:line="360" w:lineRule="auto"/>
        <w:ind w:left="1276"/>
        <w:jc w:val="both"/>
        <w:rPr>
          <w:rFonts w:ascii="Arial" w:hAnsi="Arial" w:cs="Arial"/>
          <w:lang w:val="es-AR"/>
        </w:rPr>
      </w:pPr>
      <w:r w:rsidRPr="00212CBA">
        <w:rPr>
          <w:rFonts w:ascii="Arial" w:hAnsi="Arial" w:cs="Arial"/>
          <w:lang w:val="es-AR"/>
        </w:rPr>
        <w:t>“Por el estacionamiento vehicular en las zonas demarcadas por la Municipalidad de Potrero de los Funes, se abonará por día 6 UVM. Quedan exceptuados del pago de estacionamiento los pasajeros de complejos habilitados que acrediten tal condición y los vecinos residentes de la localidad.”.</w:t>
      </w:r>
    </w:p>
    <w:p w:rsidR="004A23B3" w:rsidRPr="00FA30BA" w:rsidRDefault="004A23B3" w:rsidP="004A23B3">
      <w:pPr>
        <w:spacing w:line="360" w:lineRule="auto"/>
        <w:ind w:left="1560" w:hanging="1560"/>
        <w:jc w:val="both"/>
        <w:rPr>
          <w:rFonts w:ascii="Arial" w:hAnsi="Arial" w:cs="Arial"/>
          <w:color w:val="000000"/>
        </w:rPr>
      </w:pPr>
    </w:p>
    <w:p w:rsidR="004A23B3" w:rsidRDefault="004A23B3" w:rsidP="004A23B3">
      <w:pPr>
        <w:spacing w:line="360" w:lineRule="auto"/>
        <w:ind w:left="1276" w:hanging="1276"/>
        <w:jc w:val="both"/>
        <w:rPr>
          <w:rFonts w:ascii="Arial" w:hAnsi="Arial" w:cs="Arial"/>
          <w:color w:val="000000"/>
        </w:rPr>
      </w:pPr>
      <w:r w:rsidRPr="00FA30BA">
        <w:rPr>
          <w:rFonts w:ascii="Arial" w:hAnsi="Arial" w:cs="Arial"/>
          <w:b/>
          <w:color w:val="000000"/>
        </w:rPr>
        <w:t xml:space="preserve">ART. </w:t>
      </w:r>
      <w:r>
        <w:rPr>
          <w:rFonts w:ascii="Arial" w:hAnsi="Arial" w:cs="Arial"/>
          <w:b/>
          <w:color w:val="000000"/>
        </w:rPr>
        <w:t>5</w:t>
      </w:r>
      <w:r w:rsidRPr="00FA30BA">
        <w:rPr>
          <w:rFonts w:ascii="Arial" w:hAnsi="Arial" w:cs="Arial"/>
          <w:b/>
          <w:color w:val="000000"/>
        </w:rPr>
        <w:t>º.-</w:t>
      </w:r>
      <w:r w:rsidRPr="00FA30BA">
        <w:rPr>
          <w:rFonts w:ascii="Arial" w:hAnsi="Arial" w:cs="Arial"/>
          <w:color w:val="000000"/>
        </w:rPr>
        <w:tab/>
      </w:r>
      <w:r>
        <w:rPr>
          <w:rFonts w:ascii="Arial" w:hAnsi="Arial" w:cs="Arial"/>
          <w:color w:val="000000"/>
        </w:rPr>
        <w:t>Derogar los Artículos 35, 36 y 59 de la Ordenanza Nº90-HCDPF-2021.</w:t>
      </w:r>
    </w:p>
    <w:p w:rsidR="004A23B3" w:rsidRDefault="004A23B3" w:rsidP="004A23B3">
      <w:pPr>
        <w:spacing w:line="360" w:lineRule="auto"/>
        <w:ind w:left="1276" w:hanging="1276"/>
        <w:jc w:val="both"/>
        <w:rPr>
          <w:rFonts w:ascii="Arial" w:hAnsi="Arial" w:cs="Arial"/>
          <w:color w:val="000000"/>
        </w:rPr>
      </w:pPr>
    </w:p>
    <w:p w:rsidR="004A23B3" w:rsidRDefault="004A23B3" w:rsidP="004A23B3">
      <w:pPr>
        <w:spacing w:line="360" w:lineRule="auto"/>
        <w:ind w:left="1276" w:hanging="1276"/>
        <w:jc w:val="both"/>
        <w:rPr>
          <w:rFonts w:ascii="Arial" w:hAnsi="Arial" w:cs="Arial"/>
          <w:color w:val="000000"/>
        </w:rPr>
      </w:pPr>
      <w:r w:rsidRPr="00FA30BA">
        <w:rPr>
          <w:rFonts w:ascii="Arial" w:hAnsi="Arial" w:cs="Arial"/>
          <w:b/>
          <w:color w:val="000000"/>
        </w:rPr>
        <w:t xml:space="preserve">ART. </w:t>
      </w:r>
      <w:r>
        <w:rPr>
          <w:rFonts w:ascii="Arial" w:hAnsi="Arial" w:cs="Arial"/>
          <w:b/>
          <w:color w:val="000000"/>
        </w:rPr>
        <w:t>6</w:t>
      </w:r>
      <w:r w:rsidRPr="00FA30BA">
        <w:rPr>
          <w:rFonts w:ascii="Arial" w:hAnsi="Arial" w:cs="Arial"/>
          <w:b/>
          <w:color w:val="000000"/>
        </w:rPr>
        <w:t>º.-</w:t>
      </w:r>
      <w:r w:rsidRPr="00FA30BA">
        <w:rPr>
          <w:rFonts w:ascii="Arial" w:hAnsi="Arial" w:cs="Arial"/>
          <w:color w:val="000000"/>
        </w:rPr>
        <w:tab/>
      </w:r>
      <w:r>
        <w:rPr>
          <w:rFonts w:ascii="Arial" w:hAnsi="Arial" w:cs="Arial"/>
          <w:color w:val="000000"/>
        </w:rPr>
        <w:t>Agregar a continuación del artículo 138 de la Ordenanza Nº 90-HCDPF-2021 el siguiente título y artículos:</w:t>
      </w:r>
    </w:p>
    <w:p w:rsidR="004A23B3" w:rsidRDefault="004A23B3" w:rsidP="004A23B3">
      <w:pPr>
        <w:spacing w:line="360" w:lineRule="auto"/>
        <w:ind w:left="1276" w:hanging="1276"/>
        <w:jc w:val="both"/>
        <w:rPr>
          <w:rFonts w:ascii="Arial" w:hAnsi="Arial" w:cs="Arial"/>
          <w:color w:val="000000"/>
        </w:rPr>
      </w:pPr>
      <w:r>
        <w:rPr>
          <w:rFonts w:ascii="Arial" w:hAnsi="Arial" w:cs="Arial"/>
          <w:color w:val="000000"/>
        </w:rPr>
        <w:tab/>
        <w:t>“TITULO XIII – DISPOSICIONES TRANSITORIAS.</w:t>
      </w:r>
    </w:p>
    <w:p w:rsidR="004A23B3" w:rsidRPr="00AE1133" w:rsidRDefault="004A23B3" w:rsidP="004A23B3">
      <w:pPr>
        <w:spacing w:line="360" w:lineRule="auto"/>
        <w:ind w:left="2552" w:hanging="1276"/>
        <w:jc w:val="both"/>
        <w:rPr>
          <w:rFonts w:ascii="Arial" w:hAnsi="Arial" w:cs="Arial"/>
          <w:color w:val="000000"/>
          <w:lang w:val="es-AR"/>
        </w:rPr>
      </w:pPr>
      <w:r>
        <w:rPr>
          <w:rFonts w:ascii="Arial" w:hAnsi="Arial" w:cs="Arial"/>
          <w:color w:val="000000"/>
        </w:rPr>
        <w:t xml:space="preserve">ART. 139. </w:t>
      </w:r>
      <w:r>
        <w:rPr>
          <w:rFonts w:ascii="Arial" w:hAnsi="Arial" w:cs="Arial"/>
          <w:color w:val="000000"/>
        </w:rPr>
        <w:tab/>
      </w:r>
      <w:r w:rsidRPr="00AE1133">
        <w:rPr>
          <w:rFonts w:ascii="Arial" w:hAnsi="Arial" w:cs="Arial"/>
          <w:color w:val="000000"/>
          <w:lang w:val="es-AR"/>
        </w:rPr>
        <w:t>A los efectos de la liquidación de la contribución que incide sobre la actividad comercial, industrial y de servicios establecida en el Título II Capítulo I artículo 3</w:t>
      </w:r>
      <w:r>
        <w:rPr>
          <w:rFonts w:ascii="Arial" w:hAnsi="Arial" w:cs="Arial"/>
          <w:color w:val="000000"/>
          <w:lang w:val="es-AR"/>
        </w:rPr>
        <w:t>8</w:t>
      </w:r>
      <w:r w:rsidRPr="00AE1133">
        <w:rPr>
          <w:rFonts w:ascii="Arial" w:hAnsi="Arial" w:cs="Arial"/>
          <w:color w:val="000000"/>
          <w:lang w:val="es-AR"/>
        </w:rPr>
        <w:t>°, se establece transitoriamente para el Ejercicio 2022 lo siguiente:</w:t>
      </w:r>
    </w:p>
    <w:p w:rsidR="004A23B3" w:rsidRPr="00AE1133" w:rsidRDefault="004A23B3" w:rsidP="004A23B3">
      <w:pPr>
        <w:numPr>
          <w:ilvl w:val="0"/>
          <w:numId w:val="2"/>
        </w:numPr>
        <w:spacing w:after="0" w:line="360" w:lineRule="auto"/>
        <w:jc w:val="both"/>
        <w:rPr>
          <w:rFonts w:ascii="Arial" w:hAnsi="Arial" w:cs="Arial"/>
          <w:color w:val="000000"/>
          <w:lang w:val="es-CL"/>
        </w:rPr>
      </w:pPr>
      <w:r w:rsidRPr="00AE1133">
        <w:rPr>
          <w:rFonts w:ascii="Arial" w:hAnsi="Arial" w:cs="Arial"/>
          <w:color w:val="000000"/>
          <w:lang w:val="es-CL"/>
        </w:rPr>
        <w:t>Las obligaciones de pago de los contribuyentes que mantengan las mismas actividades del año 2021 se liquidarán por los mismos conceptos para el ejercicio 2022</w:t>
      </w:r>
    </w:p>
    <w:p w:rsidR="004A23B3" w:rsidRDefault="004A23B3" w:rsidP="004A23B3">
      <w:pPr>
        <w:numPr>
          <w:ilvl w:val="0"/>
          <w:numId w:val="2"/>
        </w:numPr>
        <w:spacing w:after="0" w:line="360" w:lineRule="auto"/>
        <w:jc w:val="both"/>
        <w:rPr>
          <w:rFonts w:ascii="Arial" w:hAnsi="Arial" w:cs="Arial"/>
          <w:color w:val="000000"/>
          <w:lang w:val="es-CL"/>
        </w:rPr>
      </w:pPr>
      <w:r w:rsidRPr="00AE1133">
        <w:rPr>
          <w:rFonts w:ascii="Arial" w:hAnsi="Arial" w:cs="Arial"/>
          <w:color w:val="000000"/>
          <w:lang w:val="es-CL"/>
        </w:rPr>
        <w:t xml:space="preserve">Los contribuyentes que se encontraren al día en el pago de todas las obligaciones, tasas y derechos municipales </w:t>
      </w:r>
      <w:r w:rsidRPr="00AE1133">
        <w:rPr>
          <w:rFonts w:ascii="Arial" w:hAnsi="Arial" w:cs="Arial"/>
          <w:color w:val="000000"/>
          <w:lang w:val="es-CL"/>
        </w:rPr>
        <w:lastRenderedPageBreak/>
        <w:t>al 31/12/20</w:t>
      </w:r>
      <w:r>
        <w:rPr>
          <w:rFonts w:ascii="Arial" w:hAnsi="Arial" w:cs="Arial"/>
          <w:color w:val="000000"/>
          <w:lang w:val="es-CL"/>
        </w:rPr>
        <w:t>2</w:t>
      </w:r>
      <w:r w:rsidRPr="00AE1133">
        <w:rPr>
          <w:rFonts w:ascii="Arial" w:hAnsi="Arial" w:cs="Arial"/>
          <w:color w:val="000000"/>
          <w:lang w:val="es-CL"/>
        </w:rPr>
        <w:t>1, gozarán además de un descuento del DIEZ POR CIENTO (10%) para el Ejercicio 2022</w:t>
      </w:r>
      <w:r>
        <w:rPr>
          <w:rFonts w:ascii="Arial" w:hAnsi="Arial" w:cs="Arial"/>
          <w:color w:val="000000"/>
          <w:lang w:val="es-CL"/>
        </w:rPr>
        <w:t>.</w:t>
      </w:r>
    </w:p>
    <w:p w:rsidR="004A23B3" w:rsidRPr="00AE1133" w:rsidRDefault="004A23B3" w:rsidP="004A23B3">
      <w:pPr>
        <w:spacing w:line="360" w:lineRule="auto"/>
        <w:ind w:left="2552" w:hanging="1276"/>
        <w:jc w:val="both"/>
        <w:rPr>
          <w:rFonts w:ascii="Arial" w:hAnsi="Arial" w:cs="Arial"/>
          <w:color w:val="000000"/>
          <w:lang w:val="es-AR"/>
        </w:rPr>
      </w:pPr>
      <w:r w:rsidRPr="00AE1133">
        <w:rPr>
          <w:rFonts w:ascii="Arial" w:hAnsi="Arial" w:cs="Arial"/>
          <w:color w:val="000000"/>
        </w:rPr>
        <w:t>ART. 1</w:t>
      </w:r>
      <w:r>
        <w:rPr>
          <w:rFonts w:ascii="Arial" w:hAnsi="Arial" w:cs="Arial"/>
          <w:color w:val="000000"/>
        </w:rPr>
        <w:t>40</w:t>
      </w:r>
      <w:r w:rsidRPr="00AE1133">
        <w:rPr>
          <w:rFonts w:ascii="Arial" w:hAnsi="Arial" w:cs="Arial"/>
          <w:color w:val="000000"/>
        </w:rPr>
        <w:t xml:space="preserve">. </w:t>
      </w:r>
      <w:r w:rsidRPr="00AE1133">
        <w:rPr>
          <w:rFonts w:ascii="Arial" w:hAnsi="Arial" w:cs="Arial"/>
          <w:color w:val="000000"/>
        </w:rPr>
        <w:tab/>
      </w:r>
      <w:r w:rsidRPr="00AE1133">
        <w:rPr>
          <w:rFonts w:ascii="Arial" w:hAnsi="Arial" w:cs="Arial"/>
          <w:color w:val="000000"/>
          <w:lang w:val="es-AR"/>
        </w:rPr>
        <w:t>A los fines de evitar los desplazamientos de la población a otras localidades para el pago de servicios como recargas de celulares, facturas de gas, energía eléctrica y otros, se considerará de interés social a las oficinas de cobro de servicios para terceros (redes de cobranzas) que se encuentren habilitadas al momento de la sanción de la presente norma, eximiéndose el pago de la contribución que incide sobre la actividad comercial, industrial y de servicios establecida en el artículo 38 para el Ejercicio 2022.</w:t>
      </w:r>
    </w:p>
    <w:p w:rsidR="004A23B3" w:rsidRDefault="004A23B3" w:rsidP="004A23B3">
      <w:pPr>
        <w:spacing w:line="360" w:lineRule="auto"/>
        <w:ind w:left="1276" w:hanging="1276"/>
        <w:jc w:val="both"/>
        <w:rPr>
          <w:rFonts w:ascii="Arial" w:hAnsi="Arial" w:cs="Arial"/>
          <w:color w:val="000000"/>
        </w:rPr>
      </w:pPr>
    </w:p>
    <w:p w:rsidR="004A23B3" w:rsidRDefault="004A23B3" w:rsidP="004A23B3">
      <w:pPr>
        <w:spacing w:line="360" w:lineRule="auto"/>
        <w:ind w:left="1276" w:right="-143" w:hanging="1276"/>
        <w:jc w:val="both"/>
        <w:rPr>
          <w:rFonts w:ascii="Arial" w:hAnsi="Arial" w:cs="Arial"/>
          <w:color w:val="000000"/>
        </w:rPr>
      </w:pPr>
      <w:r w:rsidRPr="00FA30BA">
        <w:rPr>
          <w:rFonts w:ascii="Arial" w:hAnsi="Arial" w:cs="Arial"/>
          <w:b/>
          <w:color w:val="000000"/>
        </w:rPr>
        <w:t xml:space="preserve">ART. </w:t>
      </w:r>
      <w:r>
        <w:rPr>
          <w:rFonts w:ascii="Arial" w:hAnsi="Arial" w:cs="Arial"/>
          <w:b/>
          <w:color w:val="000000"/>
        </w:rPr>
        <w:t>7</w:t>
      </w:r>
      <w:r w:rsidRPr="00FA30BA">
        <w:rPr>
          <w:rFonts w:ascii="Arial" w:hAnsi="Arial" w:cs="Arial"/>
          <w:b/>
          <w:color w:val="000000"/>
        </w:rPr>
        <w:t>°.-</w:t>
      </w:r>
      <w:r w:rsidRPr="00FA30BA">
        <w:rPr>
          <w:rFonts w:ascii="Arial" w:hAnsi="Arial" w:cs="Arial"/>
          <w:color w:val="000000"/>
        </w:rPr>
        <w:tab/>
        <w:t>Comuníquese, publíquese, dese copia al Registro Oficial y archívese.-</w:t>
      </w:r>
    </w:p>
    <w:p w:rsidR="007B3E17" w:rsidRPr="00A51E55" w:rsidRDefault="007B3E17" w:rsidP="007B3E17"/>
    <w:sectPr w:rsidR="007B3E17" w:rsidRPr="00A51E55" w:rsidSect="003134E8">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919" w:rsidRDefault="00E41919" w:rsidP="00572B35">
      <w:pPr>
        <w:spacing w:after="0" w:line="240" w:lineRule="auto"/>
      </w:pPr>
      <w:r>
        <w:separator/>
      </w:r>
    </w:p>
  </w:endnote>
  <w:endnote w:type="continuationSeparator" w:id="1">
    <w:p w:rsidR="00E41919" w:rsidRDefault="00E41919"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919" w:rsidRDefault="00E41919" w:rsidP="00572B35">
      <w:pPr>
        <w:spacing w:after="0" w:line="240" w:lineRule="auto"/>
      </w:pPr>
      <w:r>
        <w:separator/>
      </w:r>
    </w:p>
  </w:footnote>
  <w:footnote w:type="continuationSeparator" w:id="1">
    <w:p w:rsidR="00E41919" w:rsidRDefault="00E41919"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3030" b="24738"/>
                  <a:stretch/>
                </pic:blipFill>
                <pic:spPr bwMode="auto">
                  <a:xfrm>
                    <a:off x="0" y="0"/>
                    <a:ext cx="1786663" cy="8946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3BD13A1"/>
    <w:multiLevelType w:val="hybridMultilevel"/>
    <w:tmpl w:val="95B6E97C"/>
    <w:lvl w:ilvl="0" w:tplc="7DE2DBAC">
      <w:start w:val="1"/>
      <w:numFmt w:val="lowerLetter"/>
      <w:lvlText w:val="%1)"/>
      <w:lvlJc w:val="left"/>
      <w:pPr>
        <w:ind w:left="2844" w:hanging="360"/>
      </w:pPr>
      <w:rPr>
        <w:rFonts w:ascii="Arial" w:hAnsi="Arial" w:cs="Calibri" w:hint="default"/>
        <w:b w:val="0"/>
        <w:i w:val="0"/>
        <w:strike w:val="0"/>
        <w:dstrike w:val="0"/>
        <w:color w:val="000000"/>
        <w:sz w:val="24"/>
        <w:szCs w:val="24"/>
        <w:u w:val="none" w:color="000000"/>
        <w:vertAlign w:val="baseline"/>
      </w:rPr>
    </w:lvl>
    <w:lvl w:ilvl="1" w:tplc="080A0019" w:tentative="1">
      <w:start w:val="1"/>
      <w:numFmt w:val="lowerLetter"/>
      <w:lvlText w:val="%2."/>
      <w:lvlJc w:val="left"/>
      <w:pPr>
        <w:ind w:left="3564" w:hanging="360"/>
      </w:pPr>
    </w:lvl>
    <w:lvl w:ilvl="2" w:tplc="080A001B" w:tentative="1">
      <w:start w:val="1"/>
      <w:numFmt w:val="lowerRoman"/>
      <w:lvlText w:val="%3."/>
      <w:lvlJc w:val="right"/>
      <w:pPr>
        <w:ind w:left="4284" w:hanging="180"/>
      </w:pPr>
    </w:lvl>
    <w:lvl w:ilvl="3" w:tplc="080A000F" w:tentative="1">
      <w:start w:val="1"/>
      <w:numFmt w:val="decimal"/>
      <w:lvlText w:val="%4."/>
      <w:lvlJc w:val="left"/>
      <w:pPr>
        <w:ind w:left="5004" w:hanging="360"/>
      </w:pPr>
    </w:lvl>
    <w:lvl w:ilvl="4" w:tplc="080A0019" w:tentative="1">
      <w:start w:val="1"/>
      <w:numFmt w:val="lowerLetter"/>
      <w:lvlText w:val="%5."/>
      <w:lvlJc w:val="left"/>
      <w:pPr>
        <w:ind w:left="5724" w:hanging="360"/>
      </w:pPr>
    </w:lvl>
    <w:lvl w:ilvl="5" w:tplc="080A001B" w:tentative="1">
      <w:start w:val="1"/>
      <w:numFmt w:val="lowerRoman"/>
      <w:lvlText w:val="%6."/>
      <w:lvlJc w:val="right"/>
      <w:pPr>
        <w:ind w:left="6444" w:hanging="180"/>
      </w:pPr>
    </w:lvl>
    <w:lvl w:ilvl="6" w:tplc="080A000F" w:tentative="1">
      <w:start w:val="1"/>
      <w:numFmt w:val="decimal"/>
      <w:lvlText w:val="%7."/>
      <w:lvlJc w:val="left"/>
      <w:pPr>
        <w:ind w:left="7164" w:hanging="360"/>
      </w:pPr>
    </w:lvl>
    <w:lvl w:ilvl="7" w:tplc="080A0019" w:tentative="1">
      <w:start w:val="1"/>
      <w:numFmt w:val="lowerLetter"/>
      <w:lvlText w:val="%8."/>
      <w:lvlJc w:val="left"/>
      <w:pPr>
        <w:ind w:left="7884" w:hanging="360"/>
      </w:pPr>
    </w:lvl>
    <w:lvl w:ilvl="8" w:tplc="080A001B" w:tentative="1">
      <w:start w:val="1"/>
      <w:numFmt w:val="lowerRoman"/>
      <w:lvlText w:val="%9."/>
      <w:lvlJc w:val="right"/>
      <w:pPr>
        <w:ind w:left="86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6082"/>
  </w:hdrShapeDefaults>
  <w:footnotePr>
    <w:footnote w:id="0"/>
    <w:footnote w:id="1"/>
  </w:footnotePr>
  <w:endnotePr>
    <w:endnote w:id="0"/>
    <w:endnote w:id="1"/>
  </w:endnotePr>
  <w:compat>
    <w:useFELayout/>
  </w:compat>
  <w:rsids>
    <w:rsidRoot w:val="00572B35"/>
    <w:rsid w:val="001D6C12"/>
    <w:rsid w:val="00276F9D"/>
    <w:rsid w:val="00282CEA"/>
    <w:rsid w:val="00293475"/>
    <w:rsid w:val="002C0643"/>
    <w:rsid w:val="003134E8"/>
    <w:rsid w:val="00317BB6"/>
    <w:rsid w:val="00324820"/>
    <w:rsid w:val="00372FA3"/>
    <w:rsid w:val="003C335E"/>
    <w:rsid w:val="003C5CBF"/>
    <w:rsid w:val="004142A3"/>
    <w:rsid w:val="004A23B3"/>
    <w:rsid w:val="004E3CD9"/>
    <w:rsid w:val="005033DC"/>
    <w:rsid w:val="0054724D"/>
    <w:rsid w:val="00572B35"/>
    <w:rsid w:val="00593D28"/>
    <w:rsid w:val="005B14F3"/>
    <w:rsid w:val="005E7581"/>
    <w:rsid w:val="00666E9E"/>
    <w:rsid w:val="006C3AA0"/>
    <w:rsid w:val="00737023"/>
    <w:rsid w:val="0075295F"/>
    <w:rsid w:val="00776E52"/>
    <w:rsid w:val="007B3E17"/>
    <w:rsid w:val="007B6382"/>
    <w:rsid w:val="007F0212"/>
    <w:rsid w:val="00803679"/>
    <w:rsid w:val="00815DFA"/>
    <w:rsid w:val="009259E4"/>
    <w:rsid w:val="009A33F2"/>
    <w:rsid w:val="00A07781"/>
    <w:rsid w:val="00A41658"/>
    <w:rsid w:val="00A51E55"/>
    <w:rsid w:val="00AB3816"/>
    <w:rsid w:val="00AB62CE"/>
    <w:rsid w:val="00AB70A9"/>
    <w:rsid w:val="00AE5DA0"/>
    <w:rsid w:val="00AF343E"/>
    <w:rsid w:val="00B40D5C"/>
    <w:rsid w:val="00BD1099"/>
    <w:rsid w:val="00C849AF"/>
    <w:rsid w:val="00D5513D"/>
    <w:rsid w:val="00DA3D0C"/>
    <w:rsid w:val="00DB53F2"/>
    <w:rsid w:val="00DD014E"/>
    <w:rsid w:val="00E41919"/>
    <w:rsid w:val="00EC689A"/>
    <w:rsid w:val="00F33AB7"/>
    <w:rsid w:val="00F85635"/>
    <w:rsid w:val="00F931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table" w:styleId="Tablaconcuadrcula">
    <w:name w:val="Table Grid"/>
    <w:basedOn w:val="Tablanormal"/>
    <w:uiPriority w:val="59"/>
    <w:rsid w:val="004A23B3"/>
    <w:pPr>
      <w:spacing w:after="0" w:line="240" w:lineRule="auto"/>
    </w:pPr>
    <w:rPr>
      <w:rFonts w:ascii="Calibri" w:eastAsia="Calibri"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691</Words>
  <Characters>3804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2022-01-12T14:46:00Z</cp:lastPrinted>
  <dcterms:created xsi:type="dcterms:W3CDTF">2022-01-12T13:59:00Z</dcterms:created>
  <dcterms:modified xsi:type="dcterms:W3CDTF">2022-01-12T14:51:00Z</dcterms:modified>
</cp:coreProperties>
</file>